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8BDEA" w14:textId="7D0346F6" w:rsidR="00B12037" w:rsidRPr="00125FFB" w:rsidRDefault="00B12037" w:rsidP="00AB0597">
      <w:pPr>
        <w:pStyle w:val="Ingenafstand"/>
        <w:rPr>
          <w:lang w:eastAsia="da-DK"/>
        </w:rPr>
      </w:pPr>
      <w:r w:rsidRPr="002F7444">
        <w:rPr>
          <w:lang w:eastAsia="da-DK"/>
        </w:rPr>
        <w:fldChar w:fldCharType="begin"/>
      </w:r>
      <w:r w:rsidRPr="002F7444">
        <w:rPr>
          <w:lang w:eastAsia="da-DK"/>
        </w:rPr>
        <w:instrText xml:space="preserve"> HYPERLINK "https://www.retsinformation.dk/eli/lta/2020/456" </w:instrText>
      </w:r>
      <w:r w:rsidRPr="002F7444">
        <w:rPr>
          <w:lang w:eastAsia="da-DK"/>
        </w:rPr>
        <w:fldChar w:fldCharType="separate"/>
      </w:r>
      <w:r w:rsidRPr="002F7444">
        <w:rPr>
          <w:rStyle w:val="Hyperlink"/>
          <w:rFonts w:eastAsia="Times New Roman" w:cstheme="minorHAnsi"/>
          <w:color w:val="8A745D"/>
          <w:lang w:eastAsia="da-DK"/>
        </w:rPr>
        <w:t>Bekendtgørelse nr. 456 af 20. april 2020</w:t>
      </w:r>
      <w:r w:rsidRPr="002F7444">
        <w:rPr>
          <w:lang w:eastAsia="da-DK"/>
        </w:rPr>
        <w:fldChar w:fldCharType="end"/>
      </w:r>
      <w:r w:rsidRPr="00B12037">
        <w:rPr>
          <w:color w:val="212529"/>
          <w:lang w:eastAsia="da-DK"/>
        </w:rPr>
        <w:t xml:space="preserve"> om forbud mod store forsamlinger i forbindelse med håndteringen af covid-19</w:t>
      </w:r>
      <w:r>
        <w:rPr>
          <w:color w:val="212529"/>
          <w:lang w:eastAsia="da-DK"/>
        </w:rPr>
        <w:t xml:space="preserve"> sammenskrevet med</w:t>
      </w:r>
      <w:r w:rsidR="00125FFB">
        <w:rPr>
          <w:color w:val="212529"/>
          <w:lang w:eastAsia="da-DK"/>
        </w:rPr>
        <w:t xml:space="preserve"> </w:t>
      </w:r>
      <w:hyperlink r:id="rId7" w:history="1">
        <w:r w:rsidR="00125FFB" w:rsidRPr="002F7444">
          <w:rPr>
            <w:rStyle w:val="Hyperlink"/>
            <w:color w:val="8A745D"/>
            <w:lang w:eastAsia="da-DK"/>
          </w:rPr>
          <w:t>ændringsbekendtgørelse nr. 1272 af 26. august 2020</w:t>
        </w:r>
      </w:hyperlink>
      <w:r>
        <w:rPr>
          <w:color w:val="212529"/>
          <w:lang w:eastAsia="da-DK"/>
        </w:rPr>
        <w:t xml:space="preserve"> </w:t>
      </w:r>
      <w:r w:rsidR="00AB0597" w:rsidRPr="00125FFB">
        <w:rPr>
          <w:rStyle w:val="Hyperlink"/>
          <w:rFonts w:eastAsia="Times New Roman" w:cstheme="minorHAnsi"/>
          <w:color w:val="auto"/>
          <w:u w:val="none"/>
          <w:lang w:eastAsia="da-DK"/>
        </w:rPr>
        <w:t>om forbud mod store forsamlinger i forbindelse med håndteringen af covid-19</w:t>
      </w:r>
    </w:p>
    <w:p w14:paraId="57CFB817" w14:textId="77777777" w:rsidR="00AB0597" w:rsidRDefault="00AB0597" w:rsidP="00B12037">
      <w:pPr>
        <w:pStyle w:val="Ingenafstand"/>
        <w:rPr>
          <w:lang w:eastAsia="da-DK"/>
        </w:rPr>
      </w:pPr>
    </w:p>
    <w:p w14:paraId="318A7AAC" w14:textId="549E4BD3" w:rsidR="00B12037" w:rsidRPr="00B12037" w:rsidRDefault="00B12037" w:rsidP="00B12037">
      <w:pPr>
        <w:pStyle w:val="Ingenafstand"/>
        <w:rPr>
          <w:lang w:eastAsia="da-DK"/>
        </w:rPr>
      </w:pPr>
      <w:r w:rsidRPr="00B12037">
        <w:rPr>
          <w:lang w:eastAsia="da-DK"/>
        </w:rPr>
        <w:t>I medfør af § 1, stk. 2, § 6 og § 29, stk. 2, i lov om foranstaltninger mod smitsomme og andre overførbare sygdomme, jf. lovbekendtgørelse nr. 1026 af 1. oktober 2019, som ændret ved lov nr. 208 af 17. marts 2020 og lov nr. 359 af 4. april 2020, og efter forhandling med justitsministeren fastsættes:</w:t>
      </w:r>
    </w:p>
    <w:p w14:paraId="2890E8F6" w14:textId="5063A41C" w:rsidR="00B12037" w:rsidRPr="00B12037" w:rsidRDefault="00B12037" w:rsidP="00B12037">
      <w:pPr>
        <w:spacing w:before="200" w:after="0" w:line="480" w:lineRule="auto"/>
        <w:ind w:firstLine="240"/>
        <w:rPr>
          <w:rFonts w:eastAsia="Times New Roman" w:cstheme="minorHAnsi"/>
          <w:color w:val="212529"/>
          <w:lang w:eastAsia="da-DK"/>
        </w:rPr>
      </w:pPr>
      <w:r w:rsidRPr="00B12037">
        <w:rPr>
          <w:rFonts w:eastAsia="Times New Roman" w:cstheme="minorHAnsi"/>
          <w:b/>
          <w:bCs/>
          <w:color w:val="212529"/>
          <w:lang w:eastAsia="da-DK"/>
        </w:rPr>
        <w:t>§ 1.</w:t>
      </w:r>
      <w:r w:rsidRPr="00B12037">
        <w:rPr>
          <w:rFonts w:eastAsia="Times New Roman" w:cstheme="minorHAnsi"/>
          <w:color w:val="212529"/>
          <w:lang w:eastAsia="da-DK"/>
        </w:rPr>
        <w:t> Det er forbudt at afholde og deltage i indendørs og udendørs arrangementer, begivenheder, aktiviteter eller lignende, hvor der er flere end 500 personer til stede</w:t>
      </w:r>
      <w:r>
        <w:rPr>
          <w:rFonts w:eastAsia="Times New Roman" w:cstheme="minorHAnsi"/>
          <w:color w:val="212529"/>
          <w:lang w:eastAsia="da-DK"/>
        </w:rPr>
        <w:t xml:space="preserve"> samtidig</w:t>
      </w:r>
      <w:r w:rsidRPr="00B12037">
        <w:rPr>
          <w:rFonts w:eastAsia="Times New Roman" w:cstheme="minorHAnsi"/>
          <w:color w:val="212529"/>
          <w:lang w:eastAsia="da-DK"/>
        </w:rPr>
        <w:t>, jf. dog stk. 2 og 3.</w:t>
      </w:r>
    </w:p>
    <w:p w14:paraId="5A45DBFD" w14:textId="77777777" w:rsidR="00B12037" w:rsidRPr="00B12037" w:rsidRDefault="00B12037" w:rsidP="00B12037">
      <w:pPr>
        <w:spacing w:after="0" w:line="480" w:lineRule="auto"/>
        <w:ind w:firstLine="240"/>
        <w:rPr>
          <w:rFonts w:eastAsia="Times New Roman" w:cstheme="minorHAnsi"/>
          <w:color w:val="212529"/>
          <w:lang w:eastAsia="da-DK"/>
        </w:rPr>
      </w:pPr>
      <w:r w:rsidRPr="00B12037">
        <w:rPr>
          <w:rFonts w:eastAsia="Times New Roman" w:cstheme="minorHAnsi"/>
          <w:i/>
          <w:iCs/>
          <w:color w:val="212529"/>
          <w:lang w:eastAsia="da-DK"/>
        </w:rPr>
        <w:t>Stk. 2.</w:t>
      </w:r>
      <w:r w:rsidRPr="00B12037">
        <w:rPr>
          <w:rFonts w:eastAsia="Times New Roman" w:cstheme="minorHAnsi"/>
          <w:color w:val="212529"/>
          <w:lang w:eastAsia="da-DK"/>
        </w:rPr>
        <w:t> Stk. 1 gælder ikke for forsamlinger med et politisk eller andet meningsbefordrende øjemed.</w:t>
      </w:r>
    </w:p>
    <w:p w14:paraId="451562B5" w14:textId="77777777" w:rsidR="00B12037" w:rsidRPr="00B12037" w:rsidRDefault="00B12037" w:rsidP="00B12037">
      <w:pPr>
        <w:spacing w:after="0" w:line="480" w:lineRule="auto"/>
        <w:ind w:firstLine="240"/>
        <w:rPr>
          <w:rFonts w:eastAsia="Times New Roman" w:cstheme="minorHAnsi"/>
          <w:color w:val="212529"/>
          <w:lang w:eastAsia="da-DK"/>
        </w:rPr>
      </w:pPr>
      <w:r w:rsidRPr="00B12037">
        <w:rPr>
          <w:rFonts w:eastAsia="Times New Roman" w:cstheme="minorHAnsi"/>
          <w:i/>
          <w:iCs/>
          <w:color w:val="212529"/>
          <w:lang w:eastAsia="da-DK"/>
        </w:rPr>
        <w:t>Stk. 3.</w:t>
      </w:r>
      <w:r w:rsidRPr="00B12037">
        <w:rPr>
          <w:rFonts w:eastAsia="Times New Roman" w:cstheme="minorHAnsi"/>
          <w:color w:val="212529"/>
          <w:lang w:eastAsia="da-DK"/>
        </w:rPr>
        <w:t> Stk. 1 gælder ikke for Folketinget.</w:t>
      </w:r>
    </w:p>
    <w:p w14:paraId="6078A5E0" w14:textId="77777777" w:rsidR="00B12037" w:rsidRPr="00B12037" w:rsidRDefault="00B12037" w:rsidP="00B12037">
      <w:pPr>
        <w:spacing w:before="200" w:after="0" w:line="480" w:lineRule="auto"/>
        <w:ind w:firstLine="240"/>
        <w:rPr>
          <w:rFonts w:eastAsia="Times New Roman" w:cstheme="minorHAnsi"/>
          <w:color w:val="212529"/>
          <w:lang w:eastAsia="da-DK"/>
        </w:rPr>
      </w:pPr>
      <w:r w:rsidRPr="00B12037">
        <w:rPr>
          <w:rFonts w:eastAsia="Times New Roman" w:cstheme="minorHAnsi"/>
          <w:b/>
          <w:bCs/>
          <w:color w:val="212529"/>
          <w:lang w:eastAsia="da-DK"/>
        </w:rPr>
        <w:t>§ 2.</w:t>
      </w:r>
      <w:r w:rsidRPr="00B12037">
        <w:rPr>
          <w:rFonts w:eastAsia="Times New Roman" w:cstheme="minorHAnsi"/>
          <w:color w:val="212529"/>
          <w:lang w:eastAsia="da-DK"/>
        </w:rPr>
        <w:t> Politiet har uden retskendelse adgang til lokaler og andre lokaliteter med henblik på kontrol af overholdelsen af forbuddet i § 1. 1. pkt. gælder ikke for private boliger.</w:t>
      </w:r>
    </w:p>
    <w:p w14:paraId="0F806057" w14:textId="77777777" w:rsidR="00B12037" w:rsidRPr="00B12037" w:rsidRDefault="00B12037" w:rsidP="00B12037">
      <w:pPr>
        <w:spacing w:after="0" w:line="480" w:lineRule="auto"/>
        <w:ind w:firstLine="240"/>
        <w:rPr>
          <w:rFonts w:eastAsia="Times New Roman" w:cstheme="minorHAnsi"/>
          <w:color w:val="212529"/>
          <w:lang w:eastAsia="da-DK"/>
        </w:rPr>
      </w:pPr>
      <w:r w:rsidRPr="00B12037">
        <w:rPr>
          <w:rFonts w:eastAsia="Times New Roman" w:cstheme="minorHAnsi"/>
          <w:i/>
          <w:iCs/>
          <w:color w:val="212529"/>
          <w:lang w:eastAsia="da-DK"/>
        </w:rPr>
        <w:t>Stk. 2.</w:t>
      </w:r>
      <w:r w:rsidRPr="00B12037">
        <w:rPr>
          <w:rFonts w:eastAsia="Times New Roman" w:cstheme="minorHAnsi"/>
          <w:color w:val="212529"/>
          <w:lang w:eastAsia="da-DK"/>
        </w:rPr>
        <w:t xml:space="preserve"> Politiet kan anvende den </w:t>
      </w:r>
      <w:proofErr w:type="gramStart"/>
      <w:r w:rsidRPr="00B12037">
        <w:rPr>
          <w:rFonts w:eastAsia="Times New Roman" w:cstheme="minorHAnsi"/>
          <w:color w:val="212529"/>
          <w:lang w:eastAsia="da-DK"/>
        </w:rPr>
        <w:t>fornødne</w:t>
      </w:r>
      <w:proofErr w:type="gramEnd"/>
      <w:r w:rsidRPr="00B12037">
        <w:rPr>
          <w:rFonts w:eastAsia="Times New Roman" w:cstheme="minorHAnsi"/>
          <w:color w:val="212529"/>
          <w:lang w:eastAsia="da-DK"/>
        </w:rPr>
        <w:t xml:space="preserve"> magt i overensstemmelse med lov om politiets virksomhed for at sikre, at forbuddet i § 1 overholdes.</w:t>
      </w:r>
    </w:p>
    <w:p w14:paraId="4AFC948A" w14:textId="77777777" w:rsidR="00B12037" w:rsidRPr="00B12037" w:rsidRDefault="00B12037" w:rsidP="00B12037">
      <w:pPr>
        <w:spacing w:before="200" w:after="0" w:line="480" w:lineRule="auto"/>
        <w:ind w:firstLine="240"/>
        <w:rPr>
          <w:rFonts w:eastAsia="Times New Roman" w:cstheme="minorHAnsi"/>
          <w:color w:val="212529"/>
          <w:lang w:eastAsia="da-DK"/>
        </w:rPr>
      </w:pPr>
      <w:r w:rsidRPr="00B12037">
        <w:rPr>
          <w:rFonts w:eastAsia="Times New Roman" w:cstheme="minorHAnsi"/>
          <w:b/>
          <w:bCs/>
          <w:color w:val="212529"/>
          <w:lang w:eastAsia="da-DK"/>
        </w:rPr>
        <w:t>§ 3.</w:t>
      </w:r>
      <w:r w:rsidRPr="00B12037">
        <w:rPr>
          <w:rFonts w:eastAsia="Times New Roman" w:cstheme="minorHAnsi"/>
          <w:color w:val="212529"/>
          <w:lang w:eastAsia="da-DK"/>
        </w:rPr>
        <w:t> Politiet bemyndiges til at varetage sundheds- og ældreministerens beføjelser efter bekendtgørelsen.</w:t>
      </w:r>
    </w:p>
    <w:p w14:paraId="56DB4F0B" w14:textId="77777777" w:rsidR="00B12037" w:rsidRPr="00B12037" w:rsidRDefault="00B12037" w:rsidP="00B12037">
      <w:pPr>
        <w:spacing w:before="200" w:after="0" w:line="480" w:lineRule="auto"/>
        <w:ind w:firstLine="240"/>
        <w:rPr>
          <w:rFonts w:eastAsia="Times New Roman" w:cstheme="minorHAnsi"/>
          <w:color w:val="212529"/>
          <w:lang w:eastAsia="da-DK"/>
        </w:rPr>
      </w:pPr>
      <w:r w:rsidRPr="00B12037">
        <w:rPr>
          <w:rFonts w:eastAsia="Times New Roman" w:cstheme="minorHAnsi"/>
          <w:b/>
          <w:bCs/>
          <w:color w:val="212529"/>
          <w:lang w:eastAsia="da-DK"/>
        </w:rPr>
        <w:t>§ 4.</w:t>
      </w:r>
      <w:r w:rsidRPr="00B12037">
        <w:rPr>
          <w:rFonts w:eastAsia="Times New Roman" w:cstheme="minorHAnsi"/>
          <w:color w:val="212529"/>
          <w:lang w:eastAsia="da-DK"/>
        </w:rPr>
        <w:t> Med bøde straffes den, der overtræder § 1, jf. dog stk. 2.</w:t>
      </w:r>
    </w:p>
    <w:p w14:paraId="36743BD4" w14:textId="77777777" w:rsidR="00B12037" w:rsidRPr="00B12037" w:rsidRDefault="00B12037" w:rsidP="00B12037">
      <w:pPr>
        <w:spacing w:after="0" w:line="480" w:lineRule="auto"/>
        <w:ind w:firstLine="240"/>
        <w:rPr>
          <w:rFonts w:eastAsia="Times New Roman" w:cstheme="minorHAnsi"/>
          <w:color w:val="212529"/>
          <w:lang w:eastAsia="da-DK"/>
        </w:rPr>
      </w:pPr>
      <w:r w:rsidRPr="00B12037">
        <w:rPr>
          <w:rFonts w:eastAsia="Times New Roman" w:cstheme="minorHAnsi"/>
          <w:i/>
          <w:iCs/>
          <w:color w:val="212529"/>
          <w:lang w:eastAsia="da-DK"/>
        </w:rPr>
        <w:t>Stk. 2.</w:t>
      </w:r>
      <w:r w:rsidRPr="00B12037">
        <w:rPr>
          <w:rFonts w:eastAsia="Times New Roman" w:cstheme="minorHAnsi"/>
          <w:color w:val="212529"/>
          <w:lang w:eastAsia="da-DK"/>
        </w:rPr>
        <w:t> Stk. 1 omfatter ikke offentlige myndigheder.</w:t>
      </w:r>
    </w:p>
    <w:p w14:paraId="2427FDE6" w14:textId="77777777" w:rsidR="00B12037" w:rsidRPr="00B12037" w:rsidRDefault="00B12037" w:rsidP="00B12037">
      <w:pPr>
        <w:spacing w:after="0" w:line="480" w:lineRule="auto"/>
        <w:ind w:firstLine="240"/>
        <w:rPr>
          <w:rFonts w:eastAsia="Times New Roman" w:cstheme="minorHAnsi"/>
          <w:color w:val="212529"/>
          <w:lang w:eastAsia="da-DK"/>
        </w:rPr>
      </w:pPr>
      <w:r w:rsidRPr="00B12037">
        <w:rPr>
          <w:rFonts w:eastAsia="Times New Roman" w:cstheme="minorHAnsi"/>
          <w:i/>
          <w:iCs/>
          <w:color w:val="212529"/>
          <w:lang w:eastAsia="da-DK"/>
        </w:rPr>
        <w:t>Stk. 3.</w:t>
      </w:r>
      <w:r w:rsidRPr="00B12037">
        <w:rPr>
          <w:rFonts w:eastAsia="Times New Roman" w:cstheme="minorHAnsi"/>
          <w:color w:val="212529"/>
          <w:lang w:eastAsia="da-DK"/>
        </w:rPr>
        <w:t> Der kan pålægges selskaber m.v. (juridiske personer) strafansvar efter reglerne i straffelovens kapitel 5.</w:t>
      </w:r>
    </w:p>
    <w:p w14:paraId="2D4417C7" w14:textId="77777777" w:rsidR="00B12037" w:rsidRPr="00B12037" w:rsidRDefault="00B12037" w:rsidP="00B12037">
      <w:pPr>
        <w:spacing w:before="200" w:after="0" w:line="480" w:lineRule="auto"/>
        <w:ind w:firstLine="240"/>
        <w:rPr>
          <w:rFonts w:eastAsia="Times New Roman" w:cstheme="minorHAnsi"/>
          <w:color w:val="212529"/>
          <w:lang w:eastAsia="da-DK"/>
        </w:rPr>
      </w:pPr>
      <w:r w:rsidRPr="00B12037">
        <w:rPr>
          <w:rFonts w:eastAsia="Times New Roman" w:cstheme="minorHAnsi"/>
          <w:b/>
          <w:bCs/>
          <w:color w:val="212529"/>
          <w:lang w:eastAsia="da-DK"/>
        </w:rPr>
        <w:t>§ 5.</w:t>
      </w:r>
      <w:r w:rsidRPr="00B12037">
        <w:rPr>
          <w:rFonts w:eastAsia="Times New Roman" w:cstheme="minorHAnsi"/>
          <w:color w:val="212529"/>
          <w:lang w:eastAsia="da-DK"/>
        </w:rPr>
        <w:t> Bekendtgørelsen træder i kraft den 21. april 2020.</w:t>
      </w:r>
    </w:p>
    <w:p w14:paraId="2851021D" w14:textId="40A4C4F5" w:rsidR="00B12037" w:rsidRPr="00B12037" w:rsidRDefault="00B12037" w:rsidP="00B12037">
      <w:pPr>
        <w:spacing w:after="0" w:line="480" w:lineRule="auto"/>
        <w:ind w:firstLine="240"/>
        <w:rPr>
          <w:rFonts w:eastAsia="Times New Roman" w:cstheme="minorHAnsi"/>
          <w:color w:val="212529"/>
          <w:lang w:eastAsia="da-DK"/>
        </w:rPr>
      </w:pPr>
      <w:r w:rsidRPr="00B12037">
        <w:rPr>
          <w:rFonts w:eastAsia="Times New Roman" w:cstheme="minorHAnsi"/>
          <w:i/>
          <w:iCs/>
          <w:color w:val="212529"/>
          <w:lang w:eastAsia="da-DK"/>
        </w:rPr>
        <w:t>Stk. 2.</w:t>
      </w:r>
      <w:r w:rsidRPr="00B12037">
        <w:rPr>
          <w:rFonts w:eastAsia="Times New Roman" w:cstheme="minorHAnsi"/>
          <w:color w:val="212529"/>
          <w:lang w:eastAsia="da-DK"/>
        </w:rPr>
        <w:t xml:space="preserve"> Bekendtgørelsen ophæves den 1. </w:t>
      </w:r>
      <w:r>
        <w:rPr>
          <w:rFonts w:eastAsia="Times New Roman" w:cstheme="minorHAnsi"/>
          <w:color w:val="212529"/>
          <w:lang w:eastAsia="da-DK"/>
        </w:rPr>
        <w:t>november</w:t>
      </w:r>
      <w:r w:rsidRPr="00B12037">
        <w:rPr>
          <w:rFonts w:eastAsia="Times New Roman" w:cstheme="minorHAnsi"/>
          <w:color w:val="212529"/>
          <w:lang w:eastAsia="da-DK"/>
        </w:rPr>
        <w:t xml:space="preserve"> 2020.</w:t>
      </w:r>
    </w:p>
    <w:p w14:paraId="46CADDB0" w14:textId="77777777" w:rsidR="00B12037" w:rsidRPr="00B12037" w:rsidRDefault="00B12037" w:rsidP="00B12037">
      <w:pPr>
        <w:spacing w:before="120" w:after="0" w:line="480" w:lineRule="auto"/>
        <w:jc w:val="center"/>
        <w:rPr>
          <w:rFonts w:eastAsia="Times New Roman" w:cstheme="minorHAnsi"/>
          <w:i/>
          <w:iCs/>
          <w:color w:val="212529"/>
          <w:lang w:eastAsia="da-DK"/>
        </w:rPr>
      </w:pPr>
      <w:r w:rsidRPr="00B12037">
        <w:rPr>
          <w:rFonts w:eastAsia="Times New Roman" w:cstheme="minorHAnsi"/>
          <w:i/>
          <w:iCs/>
          <w:color w:val="212529"/>
          <w:lang w:eastAsia="da-DK"/>
        </w:rPr>
        <w:t>Sundheds- og Ældreministeriet, den 20. april 2020</w:t>
      </w:r>
    </w:p>
    <w:p w14:paraId="6FA789E4" w14:textId="77777777" w:rsidR="00B12037" w:rsidRPr="00B12037" w:rsidRDefault="00B12037" w:rsidP="00B12037">
      <w:pPr>
        <w:spacing w:before="120" w:after="0" w:line="480" w:lineRule="auto"/>
        <w:jc w:val="center"/>
        <w:rPr>
          <w:rFonts w:eastAsia="Times New Roman" w:cstheme="minorHAnsi"/>
          <w:color w:val="212529"/>
          <w:lang w:eastAsia="da-DK"/>
        </w:rPr>
      </w:pPr>
      <w:r w:rsidRPr="00B12037">
        <w:rPr>
          <w:rFonts w:eastAsia="Times New Roman" w:cstheme="minorHAnsi"/>
          <w:color w:val="212529"/>
          <w:lang w:eastAsia="da-DK"/>
        </w:rPr>
        <w:t xml:space="preserve">Magnus </w:t>
      </w:r>
      <w:proofErr w:type="spellStart"/>
      <w:r w:rsidRPr="00B12037">
        <w:rPr>
          <w:rFonts w:eastAsia="Times New Roman" w:cstheme="minorHAnsi"/>
          <w:color w:val="212529"/>
          <w:lang w:eastAsia="da-DK"/>
        </w:rPr>
        <w:t>Heunicke</w:t>
      </w:r>
      <w:proofErr w:type="spellEnd"/>
    </w:p>
    <w:p w14:paraId="0961F1AF" w14:textId="77777777" w:rsidR="00B12037" w:rsidRPr="00B12037" w:rsidRDefault="00B12037" w:rsidP="00B12037">
      <w:pPr>
        <w:spacing w:after="0" w:line="480" w:lineRule="auto"/>
        <w:jc w:val="right"/>
        <w:rPr>
          <w:rFonts w:eastAsia="Times New Roman" w:cstheme="minorHAnsi"/>
          <w:color w:val="212529"/>
          <w:lang w:eastAsia="da-DK"/>
        </w:rPr>
      </w:pPr>
      <w:r w:rsidRPr="00B12037">
        <w:rPr>
          <w:rFonts w:eastAsia="Times New Roman" w:cstheme="minorHAnsi"/>
          <w:color w:val="212529"/>
          <w:lang w:eastAsia="da-DK"/>
        </w:rPr>
        <w:t xml:space="preserve">/ Frederik </w:t>
      </w:r>
      <w:proofErr w:type="spellStart"/>
      <w:r w:rsidRPr="00B12037">
        <w:rPr>
          <w:rFonts w:eastAsia="Times New Roman" w:cstheme="minorHAnsi"/>
          <w:color w:val="212529"/>
          <w:lang w:eastAsia="da-DK"/>
        </w:rPr>
        <w:t>Rechenback</w:t>
      </w:r>
      <w:proofErr w:type="spellEnd"/>
      <w:r w:rsidRPr="00B12037">
        <w:rPr>
          <w:rFonts w:eastAsia="Times New Roman" w:cstheme="minorHAnsi"/>
          <w:color w:val="212529"/>
          <w:lang w:eastAsia="da-DK"/>
        </w:rPr>
        <w:t xml:space="preserve"> </w:t>
      </w:r>
      <w:proofErr w:type="spellStart"/>
      <w:r w:rsidRPr="00B12037">
        <w:rPr>
          <w:rFonts w:eastAsia="Times New Roman" w:cstheme="minorHAnsi"/>
          <w:color w:val="212529"/>
          <w:lang w:eastAsia="da-DK"/>
        </w:rPr>
        <w:t>Enelund</w:t>
      </w:r>
      <w:proofErr w:type="spellEnd"/>
    </w:p>
    <w:p w14:paraId="0D8171D0" w14:textId="024B6DE9" w:rsidR="00B12037" w:rsidRPr="00B12037" w:rsidRDefault="00B12037" w:rsidP="00B12037">
      <w:pPr>
        <w:spacing w:before="300" w:after="300" w:line="240" w:lineRule="auto"/>
        <w:outlineLvl w:val="1"/>
        <w:rPr>
          <w:rFonts w:eastAsia="Times New Roman" w:cstheme="minorHAnsi"/>
          <w:lang w:eastAsia="da-DK"/>
        </w:rPr>
      </w:pPr>
    </w:p>
    <w:p w14:paraId="61021502" w14:textId="77777777" w:rsidR="00C56F49" w:rsidRPr="00B12037" w:rsidRDefault="002F7444">
      <w:pPr>
        <w:rPr>
          <w:rFonts w:cstheme="minorHAnsi"/>
        </w:rPr>
      </w:pPr>
    </w:p>
    <w:sectPr w:rsidR="00C56F49" w:rsidRPr="00B1203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037"/>
    <w:rsid w:val="00125FFB"/>
    <w:rsid w:val="00187D6F"/>
    <w:rsid w:val="001E2598"/>
    <w:rsid w:val="002F7444"/>
    <w:rsid w:val="009109FA"/>
    <w:rsid w:val="009130AD"/>
    <w:rsid w:val="009C366E"/>
    <w:rsid w:val="00AB0597"/>
    <w:rsid w:val="00B1203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96041"/>
  <w15:chartTrackingRefBased/>
  <w15:docId w15:val="{6F530A0C-C53C-466D-8DDC-EFA6B3707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B12037"/>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B12037"/>
    <w:rPr>
      <w:rFonts w:ascii="Times New Roman" w:eastAsia="Times New Roman" w:hAnsi="Times New Roman" w:cs="Times New Roman"/>
      <w:b/>
      <w:bCs/>
      <w:sz w:val="36"/>
      <w:szCs w:val="36"/>
      <w:lang w:eastAsia="da-DK"/>
    </w:rPr>
  </w:style>
  <w:style w:type="paragraph" w:customStyle="1" w:styleId="titel2">
    <w:name w:val="titel2"/>
    <w:basedOn w:val="Normal"/>
    <w:rsid w:val="00B1203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indledning2">
    <w:name w:val="indledning2"/>
    <w:basedOn w:val="Normal"/>
    <w:rsid w:val="00B1203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B1203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B12037"/>
  </w:style>
  <w:style w:type="paragraph" w:customStyle="1" w:styleId="stk2">
    <w:name w:val="stk2"/>
    <w:basedOn w:val="Normal"/>
    <w:rsid w:val="00B1203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B12037"/>
  </w:style>
  <w:style w:type="paragraph" w:customStyle="1" w:styleId="givet">
    <w:name w:val="givet"/>
    <w:basedOn w:val="Normal"/>
    <w:rsid w:val="00B1203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ign1">
    <w:name w:val="sign1"/>
    <w:basedOn w:val="Normal"/>
    <w:rsid w:val="00B1203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sign2">
    <w:name w:val="sign2"/>
    <w:basedOn w:val="Normal"/>
    <w:rsid w:val="00B1203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Ingenafstand">
    <w:name w:val="No Spacing"/>
    <w:uiPriority w:val="1"/>
    <w:qFormat/>
    <w:rsid w:val="00B12037"/>
    <w:pPr>
      <w:spacing w:after="0" w:line="240" w:lineRule="auto"/>
    </w:pPr>
  </w:style>
  <w:style w:type="character" w:styleId="Hyperlink">
    <w:name w:val="Hyperlink"/>
    <w:basedOn w:val="Standardskrifttypeiafsnit"/>
    <w:uiPriority w:val="99"/>
    <w:unhideWhenUsed/>
    <w:rsid w:val="00B12037"/>
    <w:rPr>
      <w:color w:val="0563C1" w:themeColor="hyperlink"/>
      <w:u w:val="single"/>
    </w:rPr>
  </w:style>
  <w:style w:type="character" w:styleId="Ulstomtale">
    <w:name w:val="Unresolved Mention"/>
    <w:basedOn w:val="Standardskrifttypeiafsnit"/>
    <w:uiPriority w:val="99"/>
    <w:semiHidden/>
    <w:unhideWhenUsed/>
    <w:rsid w:val="00B12037"/>
    <w:rPr>
      <w:color w:val="605E5C"/>
      <w:shd w:val="clear" w:color="auto" w:fill="E1DFDD"/>
    </w:rPr>
  </w:style>
  <w:style w:type="character" w:styleId="BesgtLink">
    <w:name w:val="FollowedHyperlink"/>
    <w:basedOn w:val="Standardskrifttypeiafsnit"/>
    <w:uiPriority w:val="99"/>
    <w:semiHidden/>
    <w:unhideWhenUsed/>
    <w:rsid w:val="009130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905401">
      <w:bodyDiv w:val="1"/>
      <w:marLeft w:val="0"/>
      <w:marRight w:val="0"/>
      <w:marTop w:val="0"/>
      <w:marBottom w:val="0"/>
      <w:divBdr>
        <w:top w:val="none" w:sz="0" w:space="0" w:color="auto"/>
        <w:left w:val="none" w:sz="0" w:space="0" w:color="auto"/>
        <w:bottom w:val="none" w:sz="0" w:space="0" w:color="auto"/>
        <w:right w:val="none" w:sz="0" w:space="0" w:color="auto"/>
      </w:divBdr>
      <w:divsChild>
        <w:div w:id="652224221">
          <w:marLeft w:val="-225"/>
          <w:marRight w:val="-225"/>
          <w:marTop w:val="0"/>
          <w:marBottom w:val="0"/>
          <w:divBdr>
            <w:top w:val="none" w:sz="0" w:space="0" w:color="auto"/>
            <w:left w:val="none" w:sz="0" w:space="0" w:color="auto"/>
            <w:bottom w:val="none" w:sz="0" w:space="0" w:color="auto"/>
            <w:right w:val="none" w:sz="0" w:space="0" w:color="auto"/>
          </w:divBdr>
          <w:divsChild>
            <w:div w:id="24210988">
              <w:marLeft w:val="0"/>
              <w:marRight w:val="0"/>
              <w:marTop w:val="0"/>
              <w:marBottom w:val="0"/>
              <w:divBdr>
                <w:top w:val="none" w:sz="0" w:space="0" w:color="auto"/>
                <w:left w:val="none" w:sz="0" w:space="0" w:color="auto"/>
                <w:bottom w:val="none" w:sz="0" w:space="0" w:color="auto"/>
                <w:right w:val="none" w:sz="0" w:space="0" w:color="auto"/>
              </w:divBdr>
              <w:divsChild>
                <w:div w:id="1874686457">
                  <w:marLeft w:val="0"/>
                  <w:marRight w:val="0"/>
                  <w:marTop w:val="0"/>
                  <w:marBottom w:val="0"/>
                  <w:divBdr>
                    <w:top w:val="none" w:sz="0" w:space="0" w:color="auto"/>
                    <w:left w:val="none" w:sz="0" w:space="0" w:color="auto"/>
                    <w:bottom w:val="none" w:sz="0" w:space="0" w:color="auto"/>
                    <w:right w:val="none" w:sz="0" w:space="0" w:color="auto"/>
                  </w:divBdr>
                  <w:divsChild>
                    <w:div w:id="994452265">
                      <w:marLeft w:val="-225"/>
                      <w:marRight w:val="-225"/>
                      <w:marTop w:val="0"/>
                      <w:marBottom w:val="0"/>
                      <w:divBdr>
                        <w:top w:val="none" w:sz="0" w:space="0" w:color="auto"/>
                        <w:left w:val="none" w:sz="0" w:space="0" w:color="auto"/>
                        <w:bottom w:val="none" w:sz="0" w:space="0" w:color="auto"/>
                        <w:right w:val="none" w:sz="0" w:space="0" w:color="auto"/>
                      </w:divBdr>
                      <w:divsChild>
                        <w:div w:id="1297446908">
                          <w:marLeft w:val="0"/>
                          <w:marRight w:val="0"/>
                          <w:marTop w:val="0"/>
                          <w:marBottom w:val="0"/>
                          <w:divBdr>
                            <w:top w:val="none" w:sz="0" w:space="0" w:color="auto"/>
                            <w:left w:val="none" w:sz="0" w:space="0" w:color="auto"/>
                            <w:bottom w:val="none" w:sz="0" w:space="0" w:color="auto"/>
                            <w:right w:val="none" w:sz="0" w:space="0" w:color="auto"/>
                          </w:divBdr>
                          <w:divsChild>
                            <w:div w:id="2129927048">
                              <w:marLeft w:val="0"/>
                              <w:marRight w:val="0"/>
                              <w:marTop w:val="0"/>
                              <w:marBottom w:val="0"/>
                              <w:divBdr>
                                <w:top w:val="none" w:sz="0" w:space="0" w:color="auto"/>
                                <w:left w:val="none" w:sz="0" w:space="0" w:color="auto"/>
                                <w:bottom w:val="none" w:sz="0" w:space="0" w:color="auto"/>
                                <w:right w:val="none" w:sz="0" w:space="0" w:color="auto"/>
                              </w:divBdr>
                              <w:divsChild>
                                <w:div w:id="14630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215033">
          <w:marLeft w:val="0"/>
          <w:marRight w:val="0"/>
          <w:marTop w:val="0"/>
          <w:marBottom w:val="0"/>
          <w:divBdr>
            <w:top w:val="none" w:sz="0" w:space="0" w:color="auto"/>
            <w:left w:val="none" w:sz="0" w:space="0" w:color="auto"/>
            <w:bottom w:val="none" w:sz="0" w:space="0" w:color="auto"/>
            <w:right w:val="none" w:sz="0" w:space="0" w:color="auto"/>
          </w:divBdr>
          <w:divsChild>
            <w:div w:id="1267074577">
              <w:marLeft w:val="-225"/>
              <w:marRight w:val="-225"/>
              <w:marTop w:val="0"/>
              <w:marBottom w:val="0"/>
              <w:divBdr>
                <w:top w:val="none" w:sz="0" w:space="0" w:color="auto"/>
                <w:left w:val="none" w:sz="0" w:space="0" w:color="auto"/>
                <w:bottom w:val="none" w:sz="0" w:space="0" w:color="auto"/>
                <w:right w:val="none" w:sz="0" w:space="0" w:color="auto"/>
              </w:divBdr>
              <w:divsChild>
                <w:div w:id="2898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retsinformation.dk/eli/lta/2020/127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C9729E21923DC49A2F434CE99AFC8A1" ma:contentTypeVersion="4" ma:contentTypeDescription="Opret et nyt dokument." ma:contentTypeScope="" ma:versionID="c112d03d2eb7ed341cc7730114cb8a9f">
  <xsd:schema xmlns:xsd="http://www.w3.org/2001/XMLSchema" xmlns:xs="http://www.w3.org/2001/XMLSchema" xmlns:p="http://schemas.microsoft.com/office/2006/metadata/properties" xmlns:ns2="9dae24ac-d55c-46bb-a9ae-03deb1c45bfc" targetNamespace="http://schemas.microsoft.com/office/2006/metadata/properties" ma:root="true" ma:fieldsID="c1f2f4b54807800d69befaa1d05de291" ns2:_="">
    <xsd:import namespace="9dae24ac-d55c-46bb-a9ae-03deb1c45b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e24ac-d55c-46bb-a9ae-03deb1c45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348F58-B1B6-4E55-A818-F966DEC5D9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AC24B8-8F1E-4E68-A1BB-14205393A75D}">
  <ds:schemaRefs>
    <ds:schemaRef ds:uri="http://schemas.microsoft.com/sharepoint/v3/contenttype/forms"/>
  </ds:schemaRefs>
</ds:datastoreItem>
</file>

<file path=customXml/itemProps3.xml><?xml version="1.0" encoding="utf-8"?>
<ds:datastoreItem xmlns:ds="http://schemas.openxmlformats.org/officeDocument/2006/customXml" ds:itemID="{9AA33778-E371-49D2-92C7-27EDC913C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e24ac-d55c-46bb-a9ae-03deb1c45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267</Words>
  <Characters>1634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Louring</dc:creator>
  <cp:keywords/>
  <dc:description/>
  <cp:lastModifiedBy>Tina Louring</cp:lastModifiedBy>
  <cp:revision>7</cp:revision>
  <dcterms:created xsi:type="dcterms:W3CDTF">2020-08-31T13:22:00Z</dcterms:created>
  <dcterms:modified xsi:type="dcterms:W3CDTF">2020-09-01T09:02:00Z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0x0101006C9729E21923DC49A2F434CE99AFC8A1</vt:lpwstr>
  </property>
</Properties>
</file>